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A67" w:rsidRPr="00123A67" w:rsidRDefault="00123A67" w:rsidP="00123A67">
      <w:pPr>
        <w:autoSpaceDE w:val="0"/>
        <w:autoSpaceDN w:val="0"/>
        <w:adjustRightInd w:val="0"/>
        <w:spacing w:after="0" w:line="240" w:lineRule="auto"/>
        <w:ind w:left="-720" w:firstLine="540"/>
        <w:jc w:val="both"/>
        <w:rPr>
          <w:rFonts w:ascii="Times New Roman" w:hAnsi="Times New Roman" w:cs="Times New Roman"/>
          <w:i/>
          <w:iCs/>
          <w:lang w:val="es-ES_tradnl"/>
        </w:rPr>
      </w:pPr>
      <w:r w:rsidRPr="00123A67">
        <w:rPr>
          <w:rFonts w:ascii="Times New Roman" w:hAnsi="Times New Roman" w:cs="Times New Roman"/>
          <w:i/>
          <w:iCs/>
          <w:lang w:val="es-ES_tradnl"/>
        </w:rPr>
        <w:t>El dinero como unidad de cuenta</w:t>
      </w:r>
    </w:p>
    <w:p w:rsidR="00123A67" w:rsidRPr="00123A67" w:rsidRDefault="00123A67" w:rsidP="00123A67">
      <w:pPr>
        <w:autoSpaceDE w:val="0"/>
        <w:autoSpaceDN w:val="0"/>
        <w:adjustRightInd w:val="0"/>
        <w:spacing w:after="0" w:line="240" w:lineRule="auto"/>
        <w:ind w:left="-720" w:firstLine="540"/>
        <w:jc w:val="both"/>
        <w:rPr>
          <w:rFonts w:ascii="Times New Roman" w:hAnsi="Times New Roman" w:cs="Times New Roman"/>
          <w:lang w:val="es-ES_tradnl"/>
        </w:rPr>
      </w:pPr>
      <w:r w:rsidRPr="00123A67">
        <w:rPr>
          <w:rFonts w:ascii="Times New Roman" w:hAnsi="Times New Roman" w:cs="Times New Roman"/>
          <w:lang w:val="es-ES_tradnl"/>
        </w:rPr>
        <w:t xml:space="preserve">El hecho de que el dinero se usa como unidad de cuenta es incuestionable. Claramente, la gran mayoría de los precios se cotizan en unidades monetarias y no, por ejemplo, en términos de aceitunas. Sin embargo, esto plantea un problema ya que la inflación hace que el valor del dinero caiga con el tiempo, mientras que, en general, el valor de los productos, como las aceitunas, sigue siendo el mismo. Para evitar este problema, la mayoría de los modelos macroeconómicos suponen que, a la hora de efectuar transacciones, los agentes económicos piensan exclusivamente en términos reales, es decir, no sufren de ilusión monetaria. Sin embargo, datos provenientes de encuestas (Shafir </w:t>
      </w:r>
      <w:r w:rsidRPr="00123A67">
        <w:rPr>
          <w:rFonts w:ascii="Times New Roman" w:hAnsi="Times New Roman" w:cs="Times New Roman"/>
          <w:i/>
          <w:iCs/>
          <w:lang w:val="es-ES_tradnl"/>
        </w:rPr>
        <w:t>et ál</w:t>
      </w:r>
      <w:r w:rsidRPr="00123A67">
        <w:rPr>
          <w:rFonts w:ascii="Times New Roman" w:hAnsi="Times New Roman" w:cs="Times New Roman"/>
          <w:lang w:val="es-ES_tradnl"/>
        </w:rPr>
        <w:t>., 1997) o simplemente la introspección nos sugieren que este supuesto no siempre se cumple. Los estudios experimentales del dinero como unidad de cuenta no sólo estudian si algunos individuos son susceptibles a la ilusión monetaria, sino que también evalúan las consecuencias de la ilusión monetaria sobre la manera en que los precios se comportan en los mercados.</w:t>
      </w:r>
    </w:p>
    <w:p w:rsidR="00123A67" w:rsidRPr="00123A67" w:rsidRDefault="00123A67" w:rsidP="00123A67">
      <w:pPr>
        <w:autoSpaceDE w:val="0"/>
        <w:autoSpaceDN w:val="0"/>
        <w:adjustRightInd w:val="0"/>
        <w:spacing w:after="0" w:line="240" w:lineRule="auto"/>
        <w:ind w:left="-720" w:firstLine="540"/>
        <w:jc w:val="both"/>
        <w:rPr>
          <w:rFonts w:ascii="Times New Roman" w:hAnsi="Times New Roman" w:cs="Times New Roman"/>
          <w:lang w:val="es-ES_tradnl"/>
        </w:rPr>
      </w:pPr>
      <w:r w:rsidRPr="00123A67">
        <w:rPr>
          <w:rFonts w:ascii="Times New Roman" w:hAnsi="Times New Roman" w:cs="Times New Roman"/>
          <w:lang w:val="es-ES_tradnl"/>
        </w:rPr>
        <w:t>Imaginemos a un consumidor que descubre, para su gran sorpresa, que su sueldo se ha duplicado durante la noche, pero vive en un país en el cual, así como su sueldo, todos los precios también se han duplicado. ¿Se sentirá el consumidor más rico hoy y se comportará de manera diferente a como se comportaba ayer? El supuesto tradicional es que, como el aumento del sueldo es puramente nominal y, en términos reales, no ha habido ningún cambio, el consumidor no va a variar su comportamiento. Sin embargo, los estudios experimentales de Fehr y Tyran demuestran que pensar en términos nominales es común y que, en ciertas circunstancias, puede tener efectos pronunciados sobre los precios de mercado.</w:t>
      </w:r>
    </w:p>
    <w:p w:rsidR="00123A67" w:rsidRPr="00123A67" w:rsidRDefault="00123A67" w:rsidP="00123A67">
      <w:pPr>
        <w:autoSpaceDE w:val="0"/>
        <w:autoSpaceDN w:val="0"/>
        <w:adjustRightInd w:val="0"/>
        <w:spacing w:after="0" w:line="240" w:lineRule="auto"/>
        <w:ind w:left="-720" w:firstLine="540"/>
        <w:jc w:val="both"/>
        <w:rPr>
          <w:rFonts w:ascii="Times New Roman" w:hAnsi="Times New Roman" w:cs="Times New Roman"/>
          <w:lang w:val="es-ES_tradnl"/>
        </w:rPr>
      </w:pPr>
      <w:r w:rsidRPr="00123A67">
        <w:rPr>
          <w:rFonts w:ascii="Times New Roman" w:hAnsi="Times New Roman" w:cs="Times New Roman"/>
          <w:lang w:val="es-ES_tradnl"/>
        </w:rPr>
        <w:t>Tomemos a Fehr y Tyran (2001) como un ejemplo.4 En este experimento, los sujetos interactúan repetidamente en un juego en el cual compiten entre sí en unmercado oligopolístico (véase el Capítulo 11). En cada periodo</w:t>
      </w:r>
      <w:r w:rsidRPr="00123A67">
        <w:rPr>
          <w:rFonts w:ascii="Times New Roman" w:hAnsi="Times New Roman" w:cs="Times New Roman"/>
          <w:i/>
          <w:iCs/>
          <w:lang w:val="es-ES_tradnl"/>
        </w:rPr>
        <w:t xml:space="preserve">, </w:t>
      </w:r>
      <w:r w:rsidRPr="00123A67">
        <w:rPr>
          <w:rFonts w:ascii="Times New Roman" w:hAnsi="Times New Roman" w:cs="Times New Roman"/>
          <w:lang w:val="es-ES_tradnl"/>
        </w:rPr>
        <w:t>el ingreso de un sujeto depende de su precio y del precio medio elegido por los otros sujetos. El mercado fue diseñado de manera que tiene un equilibrio único y, esto es importante, hay complementariedad estratégica en las decisiones de los sujetos: es decir, la estrategia óptima de cada sujeto tiene una relación positiva con el precio medio elegido por los otros sujetos, de manera que si este precio medio aumenta, los sujetos tienen un incentivo para aumentar su propio precio.5 Aunque matemáticamente la función de demanda del mercado es algo compleja, a cada sujeto simplemente se le da una tabla que indica sus ingresos para cada precio que pueda escoger y para cada precio promedio que pueda ocurrir, con la cual no es complicado encontrar la estrategia óptima.</w:t>
      </w:r>
    </w:p>
    <w:p w:rsidR="00123A67" w:rsidRPr="00123A67" w:rsidRDefault="00123A67" w:rsidP="00123A67">
      <w:pPr>
        <w:autoSpaceDE w:val="0"/>
        <w:autoSpaceDN w:val="0"/>
        <w:adjustRightInd w:val="0"/>
        <w:spacing w:after="0" w:line="240" w:lineRule="auto"/>
        <w:ind w:firstLine="540"/>
        <w:jc w:val="both"/>
        <w:rPr>
          <w:rFonts w:ascii="Times New Roman" w:hAnsi="Times New Roman" w:cs="Times New Roman"/>
          <w:i/>
          <w:lang w:val="es-ES_tradnl"/>
        </w:rPr>
      </w:pPr>
    </w:p>
    <w:p w:rsidR="00123A67" w:rsidRPr="00123A67" w:rsidRDefault="00123A67" w:rsidP="00123A67">
      <w:pPr>
        <w:autoSpaceDE w:val="0"/>
        <w:autoSpaceDN w:val="0"/>
        <w:adjustRightInd w:val="0"/>
        <w:spacing w:after="0" w:line="240" w:lineRule="auto"/>
        <w:ind w:firstLine="540"/>
        <w:jc w:val="both"/>
        <w:rPr>
          <w:rFonts w:ascii="Times New Roman" w:hAnsi="Times New Roman" w:cs="Times New Roman"/>
          <w:i/>
          <w:lang w:val="es-ES_tradnl"/>
        </w:rPr>
      </w:pPr>
    </w:p>
    <w:p w:rsidR="00123A67" w:rsidRPr="00123A67" w:rsidRDefault="00123A67" w:rsidP="00123A67">
      <w:pPr>
        <w:autoSpaceDE w:val="0"/>
        <w:autoSpaceDN w:val="0"/>
        <w:adjustRightInd w:val="0"/>
        <w:spacing w:after="0" w:line="240" w:lineRule="auto"/>
        <w:ind w:firstLine="540"/>
        <w:jc w:val="both"/>
        <w:rPr>
          <w:rFonts w:ascii="Times New Roman" w:hAnsi="Times New Roman" w:cs="Times New Roman"/>
          <w:i/>
          <w:lang w:val="es-ES_tradnl"/>
        </w:rPr>
      </w:pPr>
    </w:p>
    <w:p w:rsidR="00123A67" w:rsidRPr="00123A67" w:rsidRDefault="00123A67" w:rsidP="00123A67">
      <w:pPr>
        <w:autoSpaceDE w:val="0"/>
        <w:autoSpaceDN w:val="0"/>
        <w:adjustRightInd w:val="0"/>
        <w:spacing w:after="0" w:line="240" w:lineRule="auto"/>
        <w:ind w:firstLine="540"/>
        <w:jc w:val="both"/>
        <w:rPr>
          <w:rFonts w:ascii="Times New Roman" w:hAnsi="Times New Roman" w:cs="Times New Roman"/>
          <w:i/>
          <w:lang w:val="es-ES_tradnl"/>
        </w:rPr>
      </w:pPr>
    </w:p>
    <w:p w:rsidR="00123A67" w:rsidRPr="00123A67" w:rsidRDefault="00123A67" w:rsidP="00123A67">
      <w:pPr>
        <w:autoSpaceDE w:val="0"/>
        <w:autoSpaceDN w:val="0"/>
        <w:adjustRightInd w:val="0"/>
        <w:spacing w:after="0" w:line="240" w:lineRule="auto"/>
        <w:ind w:firstLine="540"/>
        <w:jc w:val="both"/>
        <w:rPr>
          <w:rFonts w:ascii="Times New Roman" w:hAnsi="Times New Roman" w:cs="Times New Roman"/>
          <w:i/>
          <w:lang w:val="es-ES_tradnl"/>
        </w:rPr>
      </w:pPr>
    </w:p>
    <w:p w:rsidR="00123A67" w:rsidRPr="00123A67" w:rsidRDefault="00123A67" w:rsidP="00123A67">
      <w:pPr>
        <w:autoSpaceDE w:val="0"/>
        <w:autoSpaceDN w:val="0"/>
        <w:adjustRightInd w:val="0"/>
        <w:spacing w:after="0" w:line="240" w:lineRule="auto"/>
        <w:ind w:firstLine="540"/>
        <w:jc w:val="both"/>
        <w:rPr>
          <w:rFonts w:ascii="Times New Roman" w:hAnsi="Times New Roman" w:cs="Times New Roman"/>
          <w:i/>
          <w:lang w:val="es-ES_tradnl"/>
        </w:rPr>
      </w:pPr>
    </w:p>
    <w:p w:rsidR="00123A67" w:rsidRPr="00123A67" w:rsidRDefault="00123A67" w:rsidP="00123A67">
      <w:pPr>
        <w:autoSpaceDE w:val="0"/>
        <w:autoSpaceDN w:val="0"/>
        <w:adjustRightInd w:val="0"/>
        <w:spacing w:after="0" w:line="240" w:lineRule="auto"/>
        <w:ind w:firstLine="540"/>
        <w:jc w:val="both"/>
        <w:rPr>
          <w:rFonts w:ascii="Times New Roman" w:hAnsi="Times New Roman" w:cs="Times New Roman"/>
          <w:i/>
          <w:lang w:val="es-ES_tradnl"/>
        </w:rPr>
      </w:pPr>
    </w:p>
    <w:p w:rsidR="00123A67" w:rsidRPr="00123A67" w:rsidRDefault="00123A67" w:rsidP="00123A67">
      <w:pPr>
        <w:autoSpaceDE w:val="0"/>
        <w:autoSpaceDN w:val="0"/>
        <w:adjustRightInd w:val="0"/>
        <w:spacing w:after="0" w:line="240" w:lineRule="auto"/>
        <w:ind w:left="-180" w:right="-221" w:firstLine="540"/>
        <w:jc w:val="both"/>
        <w:rPr>
          <w:rFonts w:ascii="Times New Roman" w:hAnsi="Times New Roman" w:cs="Times New Roman"/>
          <w:lang w:val="uk-UA"/>
        </w:rPr>
      </w:pPr>
      <w:r w:rsidRPr="00123A67">
        <w:rPr>
          <w:rFonts w:ascii="Times New Roman" w:hAnsi="Times New Roman" w:cs="Times New Roman"/>
          <w:i/>
          <w:lang w:val="uk-UA"/>
        </w:rPr>
        <w:lastRenderedPageBreak/>
        <w:t>Гроші як одиниця розрахунку</w:t>
      </w:r>
      <w:r w:rsidRPr="00123A67">
        <w:rPr>
          <w:rFonts w:ascii="Times New Roman" w:hAnsi="Times New Roman" w:cs="Times New Roman"/>
          <w:i/>
          <w:lang w:val="uk-UA"/>
        </w:rPr>
        <w:tab/>
      </w:r>
      <w:r w:rsidRPr="00123A67">
        <w:rPr>
          <w:rFonts w:ascii="Times New Roman" w:hAnsi="Times New Roman" w:cs="Times New Roman"/>
          <w:lang w:val="uk-UA"/>
        </w:rPr>
        <w:br/>
      </w:r>
      <w:r w:rsidRPr="00123A67">
        <w:rPr>
          <w:rFonts w:ascii="Times New Roman" w:hAnsi="Times New Roman" w:cs="Times New Roman"/>
        </w:rPr>
        <w:t xml:space="preserve">         </w:t>
      </w:r>
      <w:r w:rsidRPr="00123A67">
        <w:rPr>
          <w:rFonts w:ascii="Times New Roman" w:hAnsi="Times New Roman" w:cs="Times New Roman"/>
          <w:lang w:val="uk-UA"/>
        </w:rPr>
        <w:t>Той факт, що гроші використовуються як одиниця розрахунку не викликає сумнівів. Очевидно, що ціни, в переважній більшості, вказані в грошових одиницях, а не, наприклад, у кількості маслин. Проте, це створює проблему, оскільки інфляція призводить до того, що вартість грошей поступово спадає, в той час як, в цілому, вартість таких продуктів, як маслини, залишається незмінною. Для того, щоб уникнути цієї проблеми, більшість макроекономічних моделей припускають, що, при укладанні угод, економічні агенти думаю виключно в межах реальності, тобто не страждають від грошової ілюзії. Проте, дані спостереження (</w:t>
      </w:r>
      <w:proofErr w:type="spellStart"/>
      <w:r w:rsidRPr="00123A67">
        <w:rPr>
          <w:rFonts w:ascii="Times New Roman" w:hAnsi="Times New Roman" w:cs="Times New Roman"/>
          <w:lang w:val="uk-UA"/>
        </w:rPr>
        <w:t>Шафір</w:t>
      </w:r>
      <w:proofErr w:type="spellEnd"/>
      <w:r w:rsidRPr="00123A67">
        <w:rPr>
          <w:rFonts w:ascii="Times New Roman" w:hAnsi="Times New Roman" w:cs="Times New Roman"/>
          <w:lang w:val="uk-UA"/>
        </w:rPr>
        <w:t xml:space="preserve"> і ін., 1997), або просто самоаналіз дозволяють припустити, що це припущення не завжди вірне. Експериментальні дослідження грошей як одиниці розрахунку не тільки вивчають чи деякі люди схильні до грошової ілюзії, але і оцінюють наслідки грошової ілюзії відповідно до того, як ціни утримуються на ринках.</w:t>
      </w:r>
    </w:p>
    <w:p w:rsidR="00123A67" w:rsidRPr="00123A67" w:rsidRDefault="00123A67" w:rsidP="00123A67">
      <w:pPr>
        <w:autoSpaceDE w:val="0"/>
        <w:autoSpaceDN w:val="0"/>
        <w:adjustRightInd w:val="0"/>
        <w:spacing w:after="0" w:line="240" w:lineRule="auto"/>
        <w:ind w:left="-180" w:right="-221" w:firstLine="540"/>
        <w:jc w:val="both"/>
        <w:rPr>
          <w:rFonts w:ascii="Times New Roman" w:hAnsi="Times New Roman" w:cs="Times New Roman"/>
          <w:lang w:val="uk-UA"/>
        </w:rPr>
      </w:pPr>
      <w:r w:rsidRPr="00123A67">
        <w:rPr>
          <w:rFonts w:ascii="Times New Roman" w:hAnsi="Times New Roman" w:cs="Times New Roman"/>
          <w:lang w:val="uk-UA"/>
        </w:rPr>
        <w:t xml:space="preserve">Уявимо собі споживача, який виявляє, на свій великий подив, що його заробітна плата подвоїлась за одну ніч, але він живе в країні, в якій, разом із заробітними платами, подвоїлися також і ціни. Чи будуть багаті споживачі відчувати та поводити себе по-іншому, ніж вчора? Традиційним припущенням є те, що, оскільки підвищення заробітної плати є чисто номінальним і в реальному вираженні не відбувається ніяких змін, споживач не змінить свою поведінку. Однак експериментальні дослідження </w:t>
      </w:r>
      <w:proofErr w:type="spellStart"/>
      <w:r w:rsidRPr="00123A67">
        <w:rPr>
          <w:rFonts w:ascii="Times New Roman" w:hAnsi="Times New Roman" w:cs="Times New Roman"/>
          <w:lang w:val="uk-UA"/>
        </w:rPr>
        <w:t>Фера</w:t>
      </w:r>
      <w:proofErr w:type="spellEnd"/>
      <w:r w:rsidRPr="00123A67">
        <w:rPr>
          <w:rFonts w:ascii="Times New Roman" w:hAnsi="Times New Roman" w:cs="Times New Roman"/>
          <w:lang w:val="uk-UA"/>
        </w:rPr>
        <w:t xml:space="preserve"> і Тирана показують, що розмірковування в номінальному вираженні є загальним і, за певних обставин, може мати яскраво виражений вплив на ринкові ціни.</w:t>
      </w:r>
    </w:p>
    <w:p w:rsidR="00123A67" w:rsidRPr="00123A67" w:rsidRDefault="00123A67" w:rsidP="00123A67">
      <w:pPr>
        <w:autoSpaceDE w:val="0"/>
        <w:autoSpaceDN w:val="0"/>
        <w:adjustRightInd w:val="0"/>
        <w:spacing w:after="0" w:line="240" w:lineRule="auto"/>
        <w:ind w:left="-180" w:right="-221" w:firstLine="540"/>
        <w:jc w:val="both"/>
        <w:rPr>
          <w:rFonts w:ascii="Times New Roman" w:hAnsi="Times New Roman" w:cs="Times New Roman"/>
          <w:lang w:val="uk-UA"/>
        </w:rPr>
      </w:pPr>
      <w:r w:rsidRPr="00123A67">
        <w:rPr>
          <w:rFonts w:ascii="Times New Roman" w:hAnsi="Times New Roman" w:cs="Times New Roman"/>
          <w:lang w:val="uk-UA"/>
        </w:rPr>
        <w:t xml:space="preserve">Давайте візьмемо теорію </w:t>
      </w:r>
      <w:proofErr w:type="spellStart"/>
      <w:r w:rsidRPr="00123A67">
        <w:rPr>
          <w:rFonts w:ascii="Times New Roman" w:hAnsi="Times New Roman" w:cs="Times New Roman"/>
          <w:lang w:val="uk-UA"/>
        </w:rPr>
        <w:t>Фера</w:t>
      </w:r>
      <w:proofErr w:type="spellEnd"/>
      <w:r w:rsidRPr="00123A67">
        <w:rPr>
          <w:rFonts w:ascii="Times New Roman" w:hAnsi="Times New Roman" w:cs="Times New Roman"/>
          <w:lang w:val="uk-UA"/>
        </w:rPr>
        <w:t xml:space="preserve"> і Тирана (2001) за зразок.</w:t>
      </w:r>
      <w:r w:rsidRPr="00123A67">
        <w:rPr>
          <w:rFonts w:ascii="Times New Roman" w:hAnsi="Times New Roman" w:cs="Times New Roman"/>
          <w:vertAlign w:val="superscript"/>
          <w:lang w:val="uk-UA"/>
        </w:rPr>
        <w:t>4</w:t>
      </w:r>
      <w:r w:rsidRPr="00123A67">
        <w:rPr>
          <w:rFonts w:ascii="Times New Roman" w:hAnsi="Times New Roman" w:cs="Times New Roman"/>
          <w:lang w:val="uk-UA"/>
        </w:rPr>
        <w:t xml:space="preserve">  У цьому експерименті суб’єкти неодноразово взаємодіють у грі, в якій вони конкурують один з одним на </w:t>
      </w:r>
      <w:proofErr w:type="spellStart"/>
      <w:r w:rsidRPr="00123A67">
        <w:rPr>
          <w:rFonts w:ascii="Times New Roman" w:hAnsi="Times New Roman" w:cs="Times New Roman"/>
          <w:lang w:val="uk-UA"/>
        </w:rPr>
        <w:t>олігополістичному</w:t>
      </w:r>
      <w:proofErr w:type="spellEnd"/>
      <w:r w:rsidRPr="00123A67">
        <w:rPr>
          <w:rFonts w:ascii="Times New Roman" w:hAnsi="Times New Roman" w:cs="Times New Roman"/>
          <w:lang w:val="uk-UA"/>
        </w:rPr>
        <w:t xml:space="preserve"> ринку (див. главу 11). У кожному періоді, дохід суб'єкта залежить від його ціни і середньої ціни взятої з інших предметів. Ринок був розроблений таким чином, що він має унікальний баланс, і, що важливо, існує стратегічна взаємодоповнюваність в прийнятті рішень суб'єктів: тобто оптимальна стратегія для кожного суб'єкта має позитивний зв'язок із середньою ціною, обраною іншими суб'єктами, таким чином, що, якщо ця середня ціна зростає, суб’єкти мають стимул збільшувати свою власну ціну.</w:t>
      </w:r>
      <w:r w:rsidRPr="00123A67">
        <w:rPr>
          <w:rFonts w:ascii="Times New Roman" w:hAnsi="Times New Roman" w:cs="Times New Roman"/>
          <w:vertAlign w:val="superscript"/>
          <w:lang w:val="uk-UA"/>
        </w:rPr>
        <w:t>5</w:t>
      </w:r>
      <w:r w:rsidRPr="00123A67">
        <w:rPr>
          <w:rFonts w:ascii="Times New Roman" w:hAnsi="Times New Roman" w:cs="Times New Roman"/>
          <w:lang w:val="uk-UA"/>
        </w:rPr>
        <w:t xml:space="preserve"> Хоча, математично, функція ринкового попиту є досить складною, кожен суб'єкт просто подає таблицю, у якій зазначений його дохід для кожної можливої середньої ціни, з чим не складно знайти оптимальну стратегію.</w:t>
      </w:r>
    </w:p>
    <w:p w:rsidR="0078619B" w:rsidRPr="00123A67" w:rsidRDefault="0078619B">
      <w:pPr>
        <w:rPr>
          <w:lang w:val="uk-UA"/>
        </w:rPr>
      </w:pPr>
    </w:p>
    <w:sectPr w:rsidR="0078619B" w:rsidRPr="00123A67" w:rsidSect="00123A67">
      <w:pgSz w:w="11906" w:h="16838"/>
      <w:pgMar w:top="850" w:right="850" w:bottom="850" w:left="1417"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123A67"/>
    <w:rsid w:val="00123A67"/>
    <w:rsid w:val="0078619B"/>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197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2016-04-26T19:54:00Z</dcterms:created>
  <dcterms:modified xsi:type="dcterms:W3CDTF">2016-04-26T20:00:00Z</dcterms:modified>
</cp:coreProperties>
</file>